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FF1D3D" w:rsidRDefault="00CD36CF" w:rsidP="00CC1F3B">
      <w:pPr>
        <w:pStyle w:val="TitlePageOrigin"/>
      </w:pPr>
      <w:r w:rsidRPr="00FF1D3D">
        <w:t>WEST virginia legislature</w:t>
      </w:r>
    </w:p>
    <w:p w14:paraId="446F25A9" w14:textId="4D620BEE" w:rsidR="00CD36CF" w:rsidRPr="00FF1D3D" w:rsidRDefault="00CD36CF" w:rsidP="00CC1F3B">
      <w:pPr>
        <w:pStyle w:val="TitlePageSession"/>
      </w:pPr>
      <w:r w:rsidRPr="00FF1D3D">
        <w:t>20</w:t>
      </w:r>
      <w:r w:rsidR="007F29DD" w:rsidRPr="00FF1D3D">
        <w:t>2</w:t>
      </w:r>
      <w:r w:rsidR="00D83FD5">
        <w:t>2</w:t>
      </w:r>
      <w:r w:rsidRPr="00FF1D3D">
        <w:t xml:space="preserve"> regular session</w:t>
      </w:r>
    </w:p>
    <w:p w14:paraId="77049CE2" w14:textId="786D14EC" w:rsidR="00CD36CF" w:rsidRPr="00FF1D3D" w:rsidRDefault="00D32EA7" w:rsidP="00CC1F3B">
      <w:pPr>
        <w:pStyle w:val="TitlePageBillPrefix"/>
      </w:pPr>
      <w:sdt>
        <w:sdtPr>
          <w:tag w:val="IntroDate"/>
          <w:id w:val="-1236936958"/>
          <w:placeholder>
            <w:docPart w:val="292E1EC732664188ACC8B29DA1F64CB8"/>
          </w:placeholder>
          <w:text/>
        </w:sdtPr>
        <w:sdtEndPr/>
        <w:sdtContent>
          <w:r w:rsidR="00FF1D3D" w:rsidRPr="00FF1D3D">
            <w:t>Originating</w:t>
          </w:r>
        </w:sdtContent>
      </w:sdt>
    </w:p>
    <w:p w14:paraId="070377CD" w14:textId="3D9C8929" w:rsidR="00CD36CF" w:rsidRPr="00FF1D3D" w:rsidRDefault="00D32EA7" w:rsidP="00CC1F3B">
      <w:pPr>
        <w:pStyle w:val="BillNumber"/>
      </w:pPr>
      <w:sdt>
        <w:sdt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FF1D3D">
            <w:t>House</w:t>
          </w:r>
        </w:sdtContent>
      </w:sdt>
      <w:r w:rsidR="00303684" w:rsidRPr="00FF1D3D">
        <w:t xml:space="preserve"> </w:t>
      </w:r>
      <w:r w:rsidR="00CD36CF" w:rsidRPr="00FF1D3D">
        <w:t xml:space="preserve">Bill </w:t>
      </w:r>
      <w:sdt>
        <w:sdtPr>
          <w:tag w:val="BNum"/>
          <w:id w:val="1645317809"/>
          <w:lock w:val="sdtLocked"/>
          <w:placeholder>
            <w:docPart w:val="20C22F1B7FBD4C33B249773D07E082F8"/>
          </w:placeholder>
          <w:text/>
        </w:sdtPr>
        <w:sdtEndPr/>
        <w:sdtContent>
          <w:r w:rsidR="00FF1D3D" w:rsidRPr="00FF1D3D">
            <w:t>3303</w:t>
          </w:r>
        </w:sdtContent>
      </w:sdt>
    </w:p>
    <w:p w14:paraId="1DF6310C" w14:textId="71A1A3C9" w:rsidR="00A11528" w:rsidRPr="00FF1D3D" w:rsidRDefault="00A11528" w:rsidP="00A11528">
      <w:pPr>
        <w:pStyle w:val="Sponsors"/>
      </w:pPr>
      <w:r w:rsidRPr="00FF1D3D">
        <w:t xml:space="preserve">By </w:t>
      </w:r>
      <w:sdt>
        <w:sdtPr>
          <w:tag w:val="Sponsors"/>
          <w:id w:val="1589585889"/>
          <w:placeholder>
            <w:docPart w:val="9C40E137F48D4EEA94471F96491DE5BA"/>
          </w:placeholder>
          <w:text w:multiLine="1"/>
        </w:sdtPr>
        <w:sdtEndPr/>
        <w:sdtContent>
          <w:r w:rsidRPr="00FF1D3D">
            <w:t xml:space="preserve">Delegates </w:t>
          </w:r>
          <w:r w:rsidR="000F141E">
            <w:t xml:space="preserve">D. </w:t>
          </w:r>
          <w:r w:rsidR="00FF1D3D" w:rsidRPr="00FF1D3D">
            <w:t xml:space="preserve">Kelly, Boggs, Capito, Fast, Westfall </w:t>
          </w:r>
          <w:r w:rsidR="000F141E">
            <w:t xml:space="preserve">and </w:t>
          </w:r>
          <w:r w:rsidR="00FF1D3D" w:rsidRPr="00FF1D3D">
            <w:t>Pack</w:t>
          </w:r>
          <w:r w:rsidRPr="00FF1D3D">
            <w:t xml:space="preserve"> </w:t>
          </w:r>
        </w:sdtContent>
      </w:sdt>
    </w:p>
    <w:p w14:paraId="0F2C42CC" w14:textId="53FBE380" w:rsidR="000F141E" w:rsidRDefault="00A11528" w:rsidP="00A11528">
      <w:pPr>
        <w:pStyle w:val="References"/>
        <w:sectPr w:rsidR="000F141E"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F1D3D">
        <w:t>[</w:t>
      </w:r>
      <w:sdt>
        <w:sdtPr>
          <w:tag w:val="References"/>
          <w:id w:val="-1299917858"/>
          <w:placeholder>
            <w:docPart w:val="E22A906911B5445A883BCD3069B4CA28"/>
          </w:placeholder>
          <w:text w:multiLine="1"/>
        </w:sdtPr>
        <w:sdtEndPr/>
        <w:sdtContent>
          <w:r w:rsidRPr="00FF1D3D">
            <w:t xml:space="preserve">Introduced </w:t>
          </w:r>
          <w:r w:rsidR="00D83FD5">
            <w:t>January 12, 2022</w:t>
          </w:r>
          <w:r w:rsidRPr="00FF1D3D">
            <w:t xml:space="preserve">; </w:t>
          </w:r>
          <w:r w:rsidR="000F141E">
            <w:t>o</w:t>
          </w:r>
          <w:r w:rsidRPr="00FF1D3D">
            <w:t>riginating in the Committee on the Judiciary</w:t>
          </w:r>
        </w:sdtContent>
      </w:sdt>
      <w:r w:rsidRPr="00FF1D3D">
        <w:t>]</w:t>
      </w:r>
    </w:p>
    <w:p w14:paraId="44F98F1F" w14:textId="6C3D8535" w:rsidR="00E831B3" w:rsidRPr="00FF1D3D" w:rsidRDefault="00E831B3" w:rsidP="00A11528">
      <w:pPr>
        <w:pStyle w:val="References"/>
      </w:pPr>
    </w:p>
    <w:p w14:paraId="605A0225" w14:textId="23BA2093" w:rsidR="00A11528" w:rsidRPr="00FF1D3D" w:rsidRDefault="0000526A" w:rsidP="000F141E">
      <w:pPr>
        <w:pStyle w:val="TitleSection"/>
      </w:pPr>
      <w:r w:rsidRPr="00FF1D3D">
        <w:lastRenderedPageBreak/>
        <w:t>A BILL</w:t>
      </w:r>
      <w:r w:rsidR="00A11528" w:rsidRPr="00FF1D3D">
        <w:t xml:space="preserve"> </w:t>
      </w:r>
      <w:r w:rsidR="00657F61" w:rsidRPr="00FF1D3D">
        <w:t xml:space="preserve">to </w:t>
      </w:r>
      <w:r w:rsidR="00A11528" w:rsidRPr="00FF1D3D">
        <w:t xml:space="preserve">amend and reenact §3-5-11 of the Code of West Virginia, 1931, as amended, and to amend and reenact §3-5-19 of said Code; all relating </w:t>
      </w:r>
      <w:r w:rsidR="00756EEC" w:rsidRPr="00FF1D3D">
        <w:t xml:space="preserve">to </w:t>
      </w:r>
      <w:r w:rsidR="00A11528" w:rsidRPr="00FF1D3D">
        <w:t xml:space="preserve">clarifying the process of filling vacancies on ballots; </w:t>
      </w:r>
      <w:r w:rsidR="00756EEC" w:rsidRPr="00FF1D3D">
        <w:t xml:space="preserve">and, </w:t>
      </w:r>
      <w:r w:rsidR="00A11528" w:rsidRPr="00FF1D3D">
        <w:t xml:space="preserve">providing that no appointment to an unfilled vacancy may be made after a primary election, save in the case of the subsequent death, withdrawal, incapacity, or disqualification of a candidate.  </w:t>
      </w:r>
    </w:p>
    <w:p w14:paraId="226DCE3D" w14:textId="77777777" w:rsidR="00303684" w:rsidRPr="00FF1D3D" w:rsidRDefault="00303684" w:rsidP="000F141E">
      <w:pPr>
        <w:pStyle w:val="EnactingClause"/>
        <w:sectPr w:rsidR="00303684" w:rsidRPr="00FF1D3D" w:rsidSect="000F141E">
          <w:pgSz w:w="12240" w:h="15840" w:code="1"/>
          <w:pgMar w:top="1440" w:right="1440" w:bottom="1440" w:left="1440" w:header="720" w:footer="720" w:gutter="0"/>
          <w:lnNumType w:countBy="1" w:restart="newSection"/>
          <w:pgNumType w:start="0"/>
          <w:cols w:space="720"/>
          <w:titlePg/>
          <w:docGrid w:linePitch="360"/>
        </w:sectPr>
      </w:pPr>
      <w:r w:rsidRPr="00FF1D3D">
        <w:t>Be it enacted by the Legislature of West Virginia:</w:t>
      </w:r>
    </w:p>
    <w:p w14:paraId="5B7978BC" w14:textId="77777777" w:rsidR="00C63E01" w:rsidRPr="00FF1D3D" w:rsidRDefault="00C63E01" w:rsidP="000F141E">
      <w:pPr>
        <w:pStyle w:val="ArticleHeading"/>
        <w:widowControl/>
        <w:sectPr w:rsidR="00C63E01" w:rsidRPr="00FF1D3D" w:rsidSect="008E35A6">
          <w:type w:val="continuous"/>
          <w:pgSz w:w="12240" w:h="15840" w:code="1"/>
          <w:pgMar w:top="1440" w:right="1440" w:bottom="1440" w:left="1440" w:header="720" w:footer="720" w:gutter="0"/>
          <w:lnNumType w:countBy="1" w:restart="newSection"/>
          <w:cols w:space="720"/>
          <w:titlePg/>
          <w:docGrid w:linePitch="360"/>
        </w:sectPr>
      </w:pPr>
      <w:r w:rsidRPr="00FF1D3D">
        <w:t>ARTICLE 5. PRIMARY ELECTIONS AND NOMINATING PROCEDURES.</w:t>
      </w:r>
    </w:p>
    <w:p w14:paraId="31FB6875" w14:textId="77777777" w:rsidR="00C63E01" w:rsidRPr="00FF1D3D" w:rsidRDefault="00C63E01" w:rsidP="000F141E">
      <w:pPr>
        <w:pStyle w:val="SectionHeading"/>
        <w:widowControl/>
        <w:sectPr w:rsidR="00C63E01" w:rsidRPr="00FF1D3D" w:rsidSect="001862DB">
          <w:type w:val="continuous"/>
          <w:pgSz w:w="12240" w:h="15840" w:code="1"/>
          <w:pgMar w:top="1440" w:right="1440" w:bottom="1440" w:left="1440" w:header="720" w:footer="720" w:gutter="0"/>
          <w:lnNumType w:countBy="1" w:restart="newSection"/>
          <w:cols w:space="720"/>
          <w:titlePg/>
          <w:docGrid w:linePitch="360"/>
        </w:sectPr>
      </w:pPr>
      <w:r w:rsidRPr="00FF1D3D">
        <w:t>§3-5-11.  Withdrawals; filling vacancies in candidacy; publication.</w:t>
      </w:r>
    </w:p>
    <w:p w14:paraId="14E30EC6" w14:textId="74BC60A3"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(a) A candidate who has filed a certificate of announcement and wishes to withdraw and decline to stand as a candidate for the office shall file a signed and notarized statement of withdrawal on a form provided by the Secretary of State with the same officer with whom the certificate of announcement was filed. If the notarized statement of withdrawal is received by the proper officer by the deadlines set forth in subsection (b) of this section</w:t>
      </w:r>
      <w:r w:rsidRPr="00FF1D3D">
        <w:rPr>
          <w:rFonts w:cs="Arial"/>
          <w:color w:val="000000"/>
          <w:szCs w:val="24"/>
          <w:u w:val="single"/>
        </w:rPr>
        <w:t>,</w:t>
      </w:r>
      <w:r w:rsidRPr="00FF1D3D">
        <w:rPr>
          <w:rFonts w:cs="Arial"/>
          <w:color w:val="000000"/>
          <w:szCs w:val="24"/>
        </w:rPr>
        <w:t xml:space="preserve"> then the candidate</w:t>
      </w:r>
      <w:r w:rsidR="00D32EA7">
        <w:rPr>
          <w:rFonts w:cs="Arial"/>
          <w:color w:val="000000"/>
          <w:szCs w:val="24"/>
        </w:rPr>
        <w:t>’</w:t>
      </w:r>
      <w:r w:rsidRPr="00FF1D3D">
        <w:rPr>
          <w:rFonts w:cs="Arial"/>
          <w:color w:val="000000"/>
          <w:szCs w:val="24"/>
        </w:rPr>
        <w:t>s withdrawal is final and his or her name shall not be certified as a candidate nor printed on any ballot. If a candidate files a notarized statement of withdrawal after the deadlines set forth in subsection (b) of this section, the candidate shall not be withdrawn</w:t>
      </w:r>
      <w:r w:rsidRPr="00FF1D3D">
        <w:rPr>
          <w:rFonts w:cs="Arial"/>
          <w:color w:val="000000"/>
          <w:szCs w:val="24"/>
          <w:u w:val="single"/>
        </w:rPr>
        <w:t>,</w:t>
      </w:r>
      <w:r w:rsidRPr="00FF1D3D">
        <w:rPr>
          <w:rFonts w:cs="Arial"/>
          <w:color w:val="000000"/>
          <w:szCs w:val="24"/>
        </w:rPr>
        <w:t xml:space="preserve"> and the candidate</w:t>
      </w:r>
      <w:r w:rsidR="00D32EA7">
        <w:rPr>
          <w:rFonts w:cs="Arial"/>
          <w:color w:val="000000"/>
          <w:szCs w:val="24"/>
        </w:rPr>
        <w:t>’</w:t>
      </w:r>
      <w:r w:rsidRPr="00FF1D3D">
        <w:rPr>
          <w:rFonts w:cs="Arial"/>
          <w:color w:val="000000"/>
          <w:szCs w:val="24"/>
        </w:rPr>
        <w:t>s name shall remain on the ballot.</w:t>
      </w:r>
    </w:p>
    <w:p w14:paraId="65BA733B"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(b) Deadlines for withdrawing as a candidate:</w:t>
      </w:r>
    </w:p>
    <w:p w14:paraId="3CE38C34"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 xml:space="preserve">(1) </w:t>
      </w:r>
      <w:r w:rsidRPr="00FF1D3D">
        <w:rPr>
          <w:rFonts w:cs="Arial"/>
          <w:i/>
          <w:iCs/>
          <w:color w:val="000000"/>
          <w:szCs w:val="24"/>
        </w:rPr>
        <w:t>For primary or special primary elections or nonpartisan elections held in conjunction with a primary election</w:t>
      </w:r>
      <w:r w:rsidRPr="00FF1D3D">
        <w:rPr>
          <w:rFonts w:cs="Arial"/>
          <w:color w:val="000000"/>
          <w:szCs w:val="24"/>
        </w:rPr>
        <w:t>: The notarized statement of withdrawal must be received by the same officer with whom the certificate of announcement was filed by the close of business of that officer not later than the third Tuesday following the close of the candidate filing period.</w:t>
      </w:r>
    </w:p>
    <w:p w14:paraId="008684B4"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 xml:space="preserve">(2) </w:t>
      </w:r>
      <w:r w:rsidRPr="00FF1D3D">
        <w:rPr>
          <w:rFonts w:cs="Arial"/>
          <w:i/>
          <w:iCs/>
          <w:color w:val="000000"/>
          <w:szCs w:val="24"/>
        </w:rPr>
        <w:t>For general or special general elections or nonpartisan elections held in conjunction with a general election</w:t>
      </w:r>
      <w:r w:rsidRPr="00FF1D3D">
        <w:rPr>
          <w:rFonts w:cs="Arial"/>
          <w:color w:val="000000"/>
          <w:szCs w:val="24"/>
        </w:rPr>
        <w:t>: The notarized statement of withdrawal must be received by the same officer with whom the certificate of announcement was filed by the close of business of that officer not later than eighty-four days before the general election.</w:t>
      </w:r>
    </w:p>
    <w:p w14:paraId="439DB0C0" w14:textId="4ABB447A"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lastRenderedPageBreak/>
        <w:t>(c) Upon request of the candidate</w:t>
      </w:r>
      <w:r w:rsidR="00D32EA7">
        <w:rPr>
          <w:rFonts w:cs="Arial"/>
          <w:color w:val="000000"/>
          <w:szCs w:val="24"/>
        </w:rPr>
        <w:t>’</w:t>
      </w:r>
      <w:r w:rsidRPr="00FF1D3D">
        <w:rPr>
          <w:rFonts w:cs="Arial"/>
          <w:color w:val="000000"/>
          <w:szCs w:val="24"/>
        </w:rPr>
        <w:t xml:space="preserve">s family, the board of ballot commissioners may remove the name of a candidate who dies before the ballots are printed. If a candidate dies after the ballots are printed but before the election, the clerk of the county commission shall give a written notice which shall be posted with the sample ballot at each precinct with the county to the following effect: </w:t>
      </w:r>
      <w:r w:rsidR="00D32EA7">
        <w:rPr>
          <w:rFonts w:cs="Arial"/>
          <w:color w:val="000000"/>
          <w:szCs w:val="24"/>
        </w:rPr>
        <w:t>“</w:t>
      </w:r>
      <w:r w:rsidRPr="00FF1D3D">
        <w:rPr>
          <w:rFonts w:cs="Arial"/>
          <w:color w:val="000000"/>
          <w:szCs w:val="24"/>
        </w:rPr>
        <w:t>To the voter: (name) of (residence), a candidate for (office) is deceased.</w:t>
      </w:r>
      <w:r w:rsidR="00D32EA7">
        <w:rPr>
          <w:rFonts w:cs="Arial"/>
          <w:color w:val="000000"/>
          <w:szCs w:val="24"/>
        </w:rPr>
        <w:t>”</w:t>
      </w:r>
    </w:p>
    <w:p w14:paraId="13929AE8" w14:textId="48175FA4" w:rsidR="00C63E01" w:rsidRPr="00FF1D3D" w:rsidRDefault="00C63E01" w:rsidP="000F141E">
      <w:pPr>
        <w:autoSpaceDE w:val="0"/>
        <w:autoSpaceDN w:val="0"/>
        <w:adjustRightInd w:val="0"/>
        <w:ind w:firstLine="720"/>
        <w:jc w:val="both"/>
        <w:rPr>
          <w:color w:val="000000"/>
        </w:rPr>
      </w:pPr>
      <w:r w:rsidRPr="00FF1D3D">
        <w:rPr>
          <w:rFonts w:cs="Arial"/>
          <w:color w:val="000000"/>
          <w:szCs w:val="24"/>
        </w:rPr>
        <w:t>(d) If after the time is closed for announcing as a candidate there is a vacancy on the ballot caused by failure of any person of a party to file for each available seat of each available office, the executive committee of the party for the political division within which such candidate was to be voted for, or its chair if the committee fails to act, may fill the vacancy and certify the candidate named to the appropriate filing officer. Certification of the appointment by the executive committee or its chair, the candidate</w:t>
      </w:r>
      <w:r w:rsidR="00D32EA7">
        <w:rPr>
          <w:rFonts w:cs="Arial"/>
          <w:color w:val="000000"/>
          <w:szCs w:val="24"/>
        </w:rPr>
        <w:t>’</w:t>
      </w:r>
      <w:r w:rsidRPr="00FF1D3D">
        <w:rPr>
          <w:rFonts w:cs="Arial"/>
          <w:color w:val="000000"/>
          <w:szCs w:val="24"/>
        </w:rPr>
        <w:t xml:space="preserve">s certificate of announcement and the filing fee must be received by the appropriate filing officer as follows: For an appointment by an executive committee, no later than the second Friday following the close of filing, for an appointment by its chair, no later than the third Tuesday following the close of filing. A candidate appointed to fill a vacancy on the ballot under this subsection shall have his or her name printed on the primary ballot for that party. </w:t>
      </w:r>
      <w:r w:rsidRPr="00FF1D3D">
        <w:rPr>
          <w:rFonts w:cs="Arial"/>
          <w:color w:val="000000"/>
          <w:szCs w:val="24"/>
          <w:u w:val="single"/>
        </w:rPr>
        <w:t xml:space="preserve">No vacancy shall be filled after the date of the primary election, except as provided in </w:t>
      </w:r>
      <w:r w:rsidRPr="00FF1D3D">
        <w:rPr>
          <w:color w:val="000000"/>
          <w:u w:val="single"/>
        </w:rPr>
        <w:t>§3-5-19 of this Code.</w:t>
      </w:r>
    </w:p>
    <w:p w14:paraId="36FFC735" w14:textId="77777777" w:rsidR="00C63E01" w:rsidRPr="00FF1D3D" w:rsidRDefault="00C63E01" w:rsidP="000F141E">
      <w:pPr>
        <w:pStyle w:val="SectionHeading"/>
        <w:widowControl/>
        <w:sectPr w:rsidR="00C63E01" w:rsidRPr="00FF1D3D" w:rsidSect="009D4B51">
          <w:type w:val="continuous"/>
          <w:pgSz w:w="12240" w:h="15840" w:code="1"/>
          <w:pgMar w:top="1440" w:right="1440" w:bottom="1440" w:left="1440" w:header="720" w:footer="720" w:gutter="0"/>
          <w:lnNumType w:countBy="1" w:restart="newSection"/>
          <w:cols w:space="720"/>
          <w:titlePg/>
          <w:docGrid w:linePitch="360"/>
        </w:sectPr>
      </w:pPr>
      <w:r w:rsidRPr="00FF1D3D">
        <w:t>§3-5-19.  Vacancies in nominations; how filled; fees.</w:t>
      </w:r>
    </w:p>
    <w:p w14:paraId="0D89FD25" w14:textId="1299456B"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(a) If any vacancy occurs in the party nomination of candidates for office nominated at the primary election</w:t>
      </w:r>
      <w:r w:rsidRPr="00FF1D3D">
        <w:rPr>
          <w:rFonts w:cs="Arial"/>
          <w:color w:val="000000"/>
          <w:szCs w:val="24"/>
          <w:u w:val="single"/>
        </w:rPr>
        <w:t>,</w:t>
      </w:r>
      <w:r w:rsidRPr="00FF1D3D">
        <w:rPr>
          <w:rFonts w:cs="Arial"/>
          <w:color w:val="000000"/>
          <w:szCs w:val="24"/>
        </w:rPr>
        <w:t xml:space="preserve"> or by appointment under the provisions of section eleven of this article, the vacancies may be filled, subject to the following requirements and limitations:</w:t>
      </w:r>
    </w:p>
    <w:p w14:paraId="01C13376"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 xml:space="preserve">(1) Each appointment made under this section shall be made by the executive committee of the political party for the political division in which the vacancy occurs: </w:t>
      </w:r>
      <w:r w:rsidRPr="00FF1D3D">
        <w:rPr>
          <w:rFonts w:cs="Arial"/>
          <w:i/>
          <w:iCs/>
          <w:color w:val="000000"/>
          <w:szCs w:val="24"/>
        </w:rPr>
        <w:t xml:space="preserve"> Provided,</w:t>
      </w:r>
      <w:r w:rsidRPr="00FF1D3D">
        <w:rPr>
          <w:rFonts w:cs="Arial"/>
          <w:color w:val="000000"/>
          <w:szCs w:val="24"/>
        </w:rPr>
        <w:t xml:space="preserve"> That if the executive committee holds a duly called meeting in accordance with section nine, article one of this chapter but fails to make an appointment or fails to certify the appointment of the candidate to the proper filing officer within the time required, the chairperson of the executive committee </w:t>
      </w:r>
      <w:r w:rsidRPr="00FF1D3D">
        <w:rPr>
          <w:rFonts w:cs="Arial"/>
          <w:color w:val="000000"/>
          <w:szCs w:val="24"/>
        </w:rPr>
        <w:lastRenderedPageBreak/>
        <w:t>may make the appointment not later than two days following the deadline for the executive committee.</w:t>
      </w:r>
    </w:p>
    <w:p w14:paraId="6BDFE020"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(2) Each appointment made under this section is complete only upon the receipt by the proper filing officer of the certificate of appointment by the executive committee, or its chairperson, as the case may be, the certificate of announcement of the candidate as prescribed in section seven of this article and, except for appointments made under subdivision (4), (5), (6) or (7) of this subsection, the filing fee or waiver of fee as prescribed in section eight or eight-a of this article.  The proper filing officer is the officer with whom the original certificate of announcement is regularly filed for that office.</w:t>
      </w:r>
    </w:p>
    <w:p w14:paraId="06A6168E" w14:textId="60A6ED9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(3) If a vacancy in nomination will be caused by the failure of a candidate to file for an office, or by withdrawal of a candidate no later than the third Tuesday following the close of candidate filing pursuant to the provisions of section eleven of this article, a nominee may be appointed by the executive committee and certified to the proper filing officer no later than thirty days after the last day to file a certificate of announcement pursuant to section seven of this article</w:t>
      </w:r>
      <w:r w:rsidR="000F141E" w:rsidRPr="00FF1D3D">
        <w:rPr>
          <w:rFonts w:cs="Arial"/>
          <w:color w:val="000000"/>
          <w:szCs w:val="24"/>
          <w:u w:val="single"/>
        </w:rPr>
        <w:t xml:space="preserve">: </w:t>
      </w:r>
      <w:r w:rsidR="000F141E" w:rsidRPr="00D32EA7">
        <w:rPr>
          <w:rFonts w:cs="Arial"/>
          <w:i/>
          <w:iCs/>
          <w:color w:val="000000"/>
          <w:szCs w:val="24"/>
          <w:u w:val="single"/>
        </w:rPr>
        <w:t>Provided</w:t>
      </w:r>
      <w:r w:rsidR="000F141E" w:rsidRPr="00FF1D3D">
        <w:rPr>
          <w:rFonts w:cs="Arial"/>
          <w:color w:val="000000"/>
          <w:szCs w:val="24"/>
          <w:u w:val="single"/>
        </w:rPr>
        <w:t>, That</w:t>
      </w:r>
      <w:r w:rsidRPr="00FF1D3D">
        <w:rPr>
          <w:rFonts w:cs="Arial"/>
          <w:color w:val="000000"/>
          <w:szCs w:val="24"/>
          <w:u w:val="single"/>
        </w:rPr>
        <w:t xml:space="preserve"> in no case shall any such vacancy be filled after the date of the primary election</w:t>
      </w:r>
      <w:r w:rsidRPr="00FF1D3D">
        <w:rPr>
          <w:rFonts w:cs="Arial"/>
          <w:color w:val="000000"/>
          <w:szCs w:val="24"/>
        </w:rPr>
        <w:t>.</w:t>
      </w:r>
    </w:p>
    <w:p w14:paraId="2CBBF16C" w14:textId="6FC0A15A"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(4) If a vacancy in nomination is caused by the disqualification of a candidate and the vacancy occurs not later than eighty-four days before the general election, a nominee may be appointed by the executive committee and certified to the proper filing officer not later than seventy-eight days before the general election.  A candidate may be determined disqualified if a written request is made by an individual with information to show a candidate</w:t>
      </w:r>
      <w:r w:rsidR="00D32EA7">
        <w:rPr>
          <w:rFonts w:cs="Arial"/>
          <w:color w:val="000000"/>
          <w:szCs w:val="24"/>
        </w:rPr>
        <w:t>’</w:t>
      </w:r>
      <w:r w:rsidRPr="00FF1D3D">
        <w:rPr>
          <w:rFonts w:cs="Arial"/>
          <w:color w:val="000000"/>
          <w:szCs w:val="24"/>
        </w:rPr>
        <w:t xml:space="preserve">s ineligibility to the State Election Commission no later than eighty-four days before the general election explaining grounds why a candidate is not eligible to be placed on the general election ballot or not eligible to hold the office, if elected.  The State Election Commission shall review the reasons for the request.  If the commission finds the circumstances warrant the disqualification of the candidate, the commission shall authorize appointment by the executive committee to fill the vacancy.  Upon </w:t>
      </w:r>
      <w:r w:rsidRPr="00FF1D3D">
        <w:rPr>
          <w:rFonts w:cs="Arial"/>
          <w:color w:val="000000"/>
          <w:szCs w:val="24"/>
        </w:rPr>
        <w:lastRenderedPageBreak/>
        <w:t>receipt of the authorization a nominee may be appointed by the executive committee and certified to the proper filing officer no later than seventy-eight days before the general election.</w:t>
      </w:r>
    </w:p>
    <w:p w14:paraId="412979AD"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(5) If a vacancy in nomination is caused by the incapacity of the candidate and if the vacancy occurs not later than eighty-four days before the general election, a nominee may be appointed by the executive committee and certified to the proper filing officer no later than seventy-eight days before the general election.</w:t>
      </w:r>
    </w:p>
    <w:p w14:paraId="6F2DB996"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(6) If a vacancy in nomination is caused by the timely filing of a notarized statement of withdrawal, according to section eleven of this article, of a candidate whose name would otherwise appear on the general election ballot, a replacement on the general election ballot may be appointed by the executive committee and certified to the proper filing officer no later than seventy-eight days before the general election.</w:t>
      </w:r>
    </w:p>
    <w:p w14:paraId="4835A43B"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(7) If a vacancy in nomination is caused by the death of the candidate occurring no later than twenty-five days before the general election, a nominee may be appointed by the executive committee and certified to the proper filing officer no later than twenty-one days following the date of death or no later than twenty-two days before the general election, whichever date occurs first.</w:t>
      </w:r>
    </w:p>
    <w:p w14:paraId="4CEA4546" w14:textId="77777777" w:rsidR="00C63E01" w:rsidRPr="00FF1D3D" w:rsidRDefault="00C63E01" w:rsidP="000F141E">
      <w:pPr>
        <w:autoSpaceDE w:val="0"/>
        <w:autoSpaceDN w:val="0"/>
        <w:adjustRightInd w:val="0"/>
        <w:ind w:firstLine="720"/>
        <w:jc w:val="both"/>
        <w:rPr>
          <w:rFonts w:cs="Arial"/>
          <w:color w:val="000000"/>
          <w:szCs w:val="24"/>
        </w:rPr>
      </w:pPr>
      <w:r w:rsidRPr="00FF1D3D">
        <w:rPr>
          <w:rFonts w:cs="Arial"/>
          <w:color w:val="000000"/>
          <w:szCs w:val="24"/>
        </w:rPr>
        <w:t>(b) Except as otherwise provided in article ten of this chapter, if any vacancy occurs in a partisan office or position other than political party executive committee, which creates an unexpired term for a position which would not otherwise appear on the ballot in the general election, and the vacancy occurs after the close of candidate filing for the primary election but not later than eighty-four days before the general election, a nominee of each political party may be appointed by the executive committee and certified to the proper filing officer no later than seventy-eight days before the general election.  Appointments shall be filed in the same manner as provided in subsection (a) of this section, except that the filing fee shall be paid before the appointment is complete.</w:t>
      </w:r>
    </w:p>
    <w:p w14:paraId="7D0B83B5" w14:textId="119A0C44" w:rsidR="00C33014" w:rsidRPr="00FF1D3D" w:rsidRDefault="00C63E01" w:rsidP="00C1118D">
      <w:pPr>
        <w:pStyle w:val="SectionBody"/>
        <w:widowControl/>
      </w:pPr>
      <w:r w:rsidRPr="00FF1D3D">
        <w:rPr>
          <w:rFonts w:cs="Arial"/>
          <w:szCs w:val="24"/>
        </w:rPr>
        <w:t xml:space="preserve">(c) When a vacancy occurs in the board of education after the close of candidate filing for the primary election but not later than eighty-four days before the general election, a special </w:t>
      </w:r>
      <w:r w:rsidRPr="00FF1D3D">
        <w:rPr>
          <w:rFonts w:cs="Arial"/>
          <w:szCs w:val="24"/>
        </w:rPr>
        <w:lastRenderedPageBreak/>
        <w:t>candidate filing period shall be established.  Candidates seeking election to any unexpired term for board of education shall file a certificate of announcement and pay the filing fee to the clerk of the county commission no earlier than the first Monday in August and no later than seventy-seven days before the general election.</w:t>
      </w:r>
    </w:p>
    <w:sectPr w:rsidR="00C33014" w:rsidRPr="00FF1D3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DAA02" w14:textId="77777777" w:rsidR="00414536" w:rsidRPr="00B844FE" w:rsidRDefault="00414536" w:rsidP="00B844FE">
      <w:r>
        <w:separator/>
      </w:r>
    </w:p>
  </w:endnote>
  <w:endnote w:type="continuationSeparator" w:id="0">
    <w:p w14:paraId="657951D1" w14:textId="77777777" w:rsidR="00414536" w:rsidRPr="00B844FE" w:rsidRDefault="004145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675DC" w14:textId="77777777" w:rsidR="00414536" w:rsidRPr="00B844FE" w:rsidRDefault="00414536" w:rsidP="00B844FE">
      <w:r>
        <w:separator/>
      </w:r>
    </w:p>
  </w:footnote>
  <w:footnote w:type="continuationSeparator" w:id="0">
    <w:p w14:paraId="0D194DFA" w14:textId="77777777" w:rsidR="00414536" w:rsidRPr="00B844FE" w:rsidRDefault="004145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FC27446" w:rsidR="002A0269" w:rsidRPr="00B844FE" w:rsidRDefault="00D32EA7">
    <w:pPr>
      <w:pStyle w:val="Header"/>
    </w:pPr>
    <w:sdt>
      <w:sdtPr>
        <w:id w:val="-684364211"/>
        <w:placeholder>
          <w:docPart w:val="4A3865B5169449BA8162585DB84D3B51"/>
        </w:placeholder>
        <w:temporary/>
        <w:showingPlcHdr/>
        <w15:appearance w15:val="hidden"/>
      </w:sdtPr>
      <w:sdtEndPr/>
      <w:sdtContent>
        <w:r w:rsidR="000F141E"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0F14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FA13" w14:textId="400C7C48" w:rsidR="00E831B3" w:rsidRPr="000F141E" w:rsidRDefault="002A6E1F" w:rsidP="000F141E">
    <w:pPr>
      <w:pStyle w:val="Header"/>
    </w:pPr>
    <w:r>
      <w:t>Org</w:t>
    </w:r>
    <w:r w:rsidR="000F141E">
      <w:t xml:space="preserve"> HB 3303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7E95"/>
    <w:rsid w:val="00085D22"/>
    <w:rsid w:val="000C5C77"/>
    <w:rsid w:val="000E3912"/>
    <w:rsid w:val="000F141E"/>
    <w:rsid w:val="0010070F"/>
    <w:rsid w:val="001143CA"/>
    <w:rsid w:val="0015112E"/>
    <w:rsid w:val="001552E7"/>
    <w:rsid w:val="001566B4"/>
    <w:rsid w:val="001A66B7"/>
    <w:rsid w:val="001C279E"/>
    <w:rsid w:val="001D459E"/>
    <w:rsid w:val="0027011C"/>
    <w:rsid w:val="00274200"/>
    <w:rsid w:val="00275740"/>
    <w:rsid w:val="002A0269"/>
    <w:rsid w:val="002A6E1F"/>
    <w:rsid w:val="00303684"/>
    <w:rsid w:val="003143F5"/>
    <w:rsid w:val="00314854"/>
    <w:rsid w:val="00394191"/>
    <w:rsid w:val="003C51CD"/>
    <w:rsid w:val="00414536"/>
    <w:rsid w:val="004228F4"/>
    <w:rsid w:val="004368E0"/>
    <w:rsid w:val="004C13DD"/>
    <w:rsid w:val="004E3441"/>
    <w:rsid w:val="00500579"/>
    <w:rsid w:val="005A5366"/>
    <w:rsid w:val="005D7E17"/>
    <w:rsid w:val="006210B7"/>
    <w:rsid w:val="006369EB"/>
    <w:rsid w:val="00637E73"/>
    <w:rsid w:val="00657F61"/>
    <w:rsid w:val="006865E9"/>
    <w:rsid w:val="00691F3E"/>
    <w:rsid w:val="00694BFB"/>
    <w:rsid w:val="006A106B"/>
    <w:rsid w:val="006C523D"/>
    <w:rsid w:val="006D1673"/>
    <w:rsid w:val="006D4036"/>
    <w:rsid w:val="00756EEC"/>
    <w:rsid w:val="007A5259"/>
    <w:rsid w:val="007A7081"/>
    <w:rsid w:val="007F1CF5"/>
    <w:rsid w:val="007F29DD"/>
    <w:rsid w:val="00834EDE"/>
    <w:rsid w:val="008736AA"/>
    <w:rsid w:val="008D275D"/>
    <w:rsid w:val="00980327"/>
    <w:rsid w:val="00986478"/>
    <w:rsid w:val="009B5557"/>
    <w:rsid w:val="009F1067"/>
    <w:rsid w:val="009F5C46"/>
    <w:rsid w:val="00A11528"/>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1118D"/>
    <w:rsid w:val="00C33014"/>
    <w:rsid w:val="00C33434"/>
    <w:rsid w:val="00C34869"/>
    <w:rsid w:val="00C42EB6"/>
    <w:rsid w:val="00C63E01"/>
    <w:rsid w:val="00C85096"/>
    <w:rsid w:val="00CB20EF"/>
    <w:rsid w:val="00CC1F3B"/>
    <w:rsid w:val="00CD12CB"/>
    <w:rsid w:val="00CD36CF"/>
    <w:rsid w:val="00CF1DCA"/>
    <w:rsid w:val="00D32EA7"/>
    <w:rsid w:val="00D579FC"/>
    <w:rsid w:val="00D81C16"/>
    <w:rsid w:val="00D83FD5"/>
    <w:rsid w:val="00DD6C12"/>
    <w:rsid w:val="00DE526B"/>
    <w:rsid w:val="00DF199D"/>
    <w:rsid w:val="00E01542"/>
    <w:rsid w:val="00E365F1"/>
    <w:rsid w:val="00E62F48"/>
    <w:rsid w:val="00E63F1C"/>
    <w:rsid w:val="00E831A6"/>
    <w:rsid w:val="00E831B3"/>
    <w:rsid w:val="00E95FBC"/>
    <w:rsid w:val="00EE70CB"/>
    <w:rsid w:val="00F41CA2"/>
    <w:rsid w:val="00F443C0"/>
    <w:rsid w:val="00F62EFB"/>
    <w:rsid w:val="00F939A4"/>
    <w:rsid w:val="00FA7B09"/>
    <w:rsid w:val="00FD5B51"/>
    <w:rsid w:val="00FE067E"/>
    <w:rsid w:val="00FE208F"/>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8E8F41"/>
  <w15:chartTrackingRefBased/>
  <w15:docId w15:val="{BE29B6C9-0F2A-4837-A40C-C1A68DD3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63E01"/>
    <w:rPr>
      <w:rFonts w:eastAsia="Calibri"/>
      <w:b/>
      <w:caps/>
      <w:color w:val="000000"/>
      <w:sz w:val="24"/>
    </w:rPr>
  </w:style>
  <w:style w:type="character" w:customStyle="1" w:styleId="SectionHeadingChar">
    <w:name w:val="Section Heading Char"/>
    <w:link w:val="SectionHeading"/>
    <w:rsid w:val="00C63E01"/>
    <w:rPr>
      <w:rFonts w:eastAsia="Calibri"/>
      <w:b/>
      <w:color w:val="000000"/>
    </w:rPr>
  </w:style>
  <w:style w:type="character" w:customStyle="1" w:styleId="SectionBodyChar">
    <w:name w:val="Section Body Char"/>
    <w:link w:val="SectionBody"/>
    <w:rsid w:val="00C63E0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8A59C3">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9C40E137F48D4EEA94471F96491DE5BA"/>
        <w:category>
          <w:name w:val="General"/>
          <w:gallery w:val="placeholder"/>
        </w:category>
        <w:types>
          <w:type w:val="bbPlcHdr"/>
        </w:types>
        <w:behaviors>
          <w:behavior w:val="content"/>
        </w:behaviors>
        <w:guid w:val="{179C85DE-89AB-4A4C-8FB9-6571558D2A4F}"/>
      </w:docPartPr>
      <w:docPartBody>
        <w:p w:rsidR="000A3CEB" w:rsidRDefault="008F43D5" w:rsidP="008F43D5">
          <w:pPr>
            <w:pStyle w:val="9C40E137F48D4EEA94471F96491DE5BA"/>
          </w:pPr>
          <w:r w:rsidRPr="00B844FE">
            <w:t>Enter Sponsors Here</w:t>
          </w:r>
        </w:p>
      </w:docPartBody>
    </w:docPart>
    <w:docPart>
      <w:docPartPr>
        <w:name w:val="E22A906911B5445A883BCD3069B4CA28"/>
        <w:category>
          <w:name w:val="General"/>
          <w:gallery w:val="placeholder"/>
        </w:category>
        <w:types>
          <w:type w:val="bbPlcHdr"/>
        </w:types>
        <w:behaviors>
          <w:behavior w:val="content"/>
        </w:behaviors>
        <w:guid w:val="{B0ED9AF4-D819-4129-B551-351FD9D04118}"/>
      </w:docPartPr>
      <w:docPartBody>
        <w:p w:rsidR="000A3CEB" w:rsidRDefault="008F43D5" w:rsidP="008F43D5">
          <w:pPr>
            <w:pStyle w:val="E22A906911B5445A883BCD3069B4CA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A3CEB"/>
    <w:rsid w:val="000D4AB3"/>
    <w:rsid w:val="00161453"/>
    <w:rsid w:val="002D6444"/>
    <w:rsid w:val="00344E3E"/>
    <w:rsid w:val="00433668"/>
    <w:rsid w:val="00852D52"/>
    <w:rsid w:val="008760AE"/>
    <w:rsid w:val="008A59C3"/>
    <w:rsid w:val="008F43D5"/>
    <w:rsid w:val="00A508B3"/>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sid w:val="008A59C3"/>
    <w:rPr>
      <w:color w:val="808080"/>
    </w:rPr>
  </w:style>
  <w:style w:type="paragraph" w:customStyle="1" w:styleId="9C40E137F48D4EEA94471F96491DE5BA">
    <w:name w:val="9C40E137F48D4EEA94471F96491DE5BA"/>
    <w:rsid w:val="008F43D5"/>
  </w:style>
  <w:style w:type="paragraph" w:customStyle="1" w:styleId="E22A906911B5445A883BCD3069B4CA28">
    <w:name w:val="E22A906911B5445A883BCD3069B4CA28"/>
    <w:rsid w:val="008F43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Seth Wright</cp:lastModifiedBy>
  <cp:revision>7</cp:revision>
  <cp:lastPrinted>2022-01-19T15:34:00Z</cp:lastPrinted>
  <dcterms:created xsi:type="dcterms:W3CDTF">2021-03-23T18:44:00Z</dcterms:created>
  <dcterms:modified xsi:type="dcterms:W3CDTF">2022-01-19T15:36:00Z</dcterms:modified>
</cp:coreProperties>
</file>